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pubblica, per titoli per l’attribuzione delle borse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COMPRENDERE LO SVILUPPO LOCALE IN UNA PROSPETTIVA ‘PLURIVERSALE’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/SHM4FQiA68Qf4URqGfhiD72Zw==">AMUW2mXNqk9ypIaviQWDeJlX4Oz8FDHXHpJc3nVvl40MMiydPdmtjGyiePzvhNvwnC7iQI5dAUBLlkP7AIiPuavw+7kvAPV0MLw0tb0cAUqcGudEq36gbvvEfyroq49nafJ7tjFQADJR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